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2008" w:rsidRDefault="000435FE">
      <w:pPr>
        <w:jc w:val="center"/>
        <w:rPr>
          <w:b/>
        </w:rPr>
      </w:pPr>
      <w:bookmarkStart w:id="0" w:name="_GoBack"/>
      <w:bookmarkEnd w:id="0"/>
      <w:r>
        <w:rPr>
          <w:b/>
        </w:rPr>
        <w:t>Systém jazykových kurzů (platí pro všechny jazyky vyučované CJP kromě angličtiny a češtiny)</w:t>
      </w:r>
    </w:p>
    <w:p w:rsidR="00BA2008" w:rsidRDefault="000435FE">
      <w:r>
        <w:t>Studenti si v povinně volitelných předmětech mohou zvolit jeden mírně specializovaný jazyk (Jazyk pro sociální vědy, obvykle na úrovni B1) a jeden odborný jazyk (obvykle na úrovni B2+). Výjimky jsou uvedeny ve studijním plánu příslušného studijního programu.</w:t>
      </w:r>
    </w:p>
    <w:p w:rsidR="00BA2008" w:rsidRDefault="000435FE">
      <w:r>
        <w:t xml:space="preserve">Studenti si navíc mohou zvolit buď Základy jazyka či Přípravu na konkrétní povinně volitelný předmět. Počet těchto kurzů je omezen. Základy jazyka I a II jsou dvousemestrální kurz pro úplné začátečníky. Základy jazyka III a IV jsou pro mírně pokročilé/tzv. falešné začátečníky. Pozor - Jazyk – Příprava pro </w:t>
      </w:r>
      <w:proofErr w:type="spellStart"/>
      <w:r>
        <w:t>JLBxyz</w:t>
      </w:r>
      <w:proofErr w:type="spellEnd"/>
      <w:r>
        <w:t xml:space="preserve"> nenavazuje přímo na Základy jazyka, během čtyř semestrů není zpravidla možné posunout se z úplného začátečníka na úroveň B1.</w:t>
      </w:r>
    </w:p>
    <w:p w:rsidR="00BA2008" w:rsidRDefault="000435FE">
      <w:r>
        <w:t>DŮLEŽITÉ: Vždy si pečlivě pročtěte vstupní požadavky daného předmětu v SIS!</w:t>
      </w:r>
    </w:p>
    <w:tbl>
      <w:tblPr>
        <w:tblStyle w:val="a"/>
        <w:tblW w:w="906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11"/>
        <w:gridCol w:w="1812"/>
        <w:gridCol w:w="1812"/>
        <w:gridCol w:w="1813"/>
        <w:gridCol w:w="1813"/>
      </w:tblGrid>
      <w:tr w:rsidR="00BA2008" w:rsidTr="000435FE">
        <w:tc>
          <w:tcPr>
            <w:tcW w:w="1812" w:type="dxa"/>
            <w:shd w:val="clear" w:color="auto" w:fill="FFC000" w:themeFill="accent4"/>
          </w:tcPr>
          <w:p w:rsidR="00BA2008" w:rsidRDefault="000435FE">
            <w:pPr>
              <w:jc w:val="center"/>
              <w:rPr>
                <w:shd w:val="clear" w:color="auto" w:fill="FFD965"/>
              </w:rPr>
            </w:pPr>
            <w:r>
              <w:t>A1</w:t>
            </w:r>
          </w:p>
        </w:tc>
        <w:tc>
          <w:tcPr>
            <w:tcW w:w="1812" w:type="dxa"/>
            <w:shd w:val="clear" w:color="auto" w:fill="FFC000" w:themeFill="accent4"/>
          </w:tcPr>
          <w:p w:rsidR="00BA2008" w:rsidRDefault="000435FE">
            <w:r>
              <w:t>A1+</w:t>
            </w:r>
          </w:p>
        </w:tc>
        <w:tc>
          <w:tcPr>
            <w:tcW w:w="1812" w:type="dxa"/>
            <w:shd w:val="clear" w:color="auto" w:fill="FFC000" w:themeFill="accent4"/>
          </w:tcPr>
          <w:p w:rsidR="00BA2008" w:rsidRDefault="000435FE">
            <w:r>
              <w:t>B1</w:t>
            </w:r>
          </w:p>
        </w:tc>
        <w:tc>
          <w:tcPr>
            <w:tcW w:w="1813" w:type="dxa"/>
            <w:shd w:val="clear" w:color="auto" w:fill="FFC000" w:themeFill="accent4"/>
          </w:tcPr>
          <w:p w:rsidR="00BA2008" w:rsidRDefault="000435FE">
            <w:r>
              <w:t>B1+/B2</w:t>
            </w:r>
          </w:p>
        </w:tc>
        <w:tc>
          <w:tcPr>
            <w:tcW w:w="1813" w:type="dxa"/>
            <w:shd w:val="clear" w:color="auto" w:fill="FFC000" w:themeFill="accent4"/>
          </w:tcPr>
          <w:p w:rsidR="00BA2008" w:rsidRDefault="000435FE">
            <w:r>
              <w:t>B2+/C1</w:t>
            </w:r>
          </w:p>
        </w:tc>
      </w:tr>
      <w:tr w:rsidR="00BA2008" w:rsidTr="000435FE">
        <w:tc>
          <w:tcPr>
            <w:tcW w:w="1812" w:type="dxa"/>
            <w:shd w:val="clear" w:color="auto" w:fill="FFE599"/>
          </w:tcPr>
          <w:p w:rsidR="00BA2008" w:rsidRDefault="000435FE">
            <w:r>
              <w:t>Základy jazyka (francouzštiny, němčiny atd.) I+II (úplní začátečníci)</w:t>
            </w:r>
          </w:p>
        </w:tc>
        <w:tc>
          <w:tcPr>
            <w:tcW w:w="1812" w:type="dxa"/>
            <w:shd w:val="clear" w:color="auto" w:fill="FFD965"/>
          </w:tcPr>
          <w:p w:rsidR="00BA2008" w:rsidRDefault="000435FE">
            <w:r>
              <w:t>Základy jazyka III+IV (mírně pokročilí)</w:t>
            </w:r>
          </w:p>
        </w:tc>
        <w:tc>
          <w:tcPr>
            <w:tcW w:w="1812" w:type="dxa"/>
            <w:shd w:val="clear" w:color="auto" w:fill="C5E0B3" w:themeFill="accent6" w:themeFillTint="66"/>
          </w:tcPr>
          <w:p w:rsidR="00BA2008" w:rsidRDefault="000435FE">
            <w:r>
              <w:t xml:space="preserve">Jazyk – příprava pro </w:t>
            </w:r>
            <w:proofErr w:type="spellStart"/>
            <w:r>
              <w:t>JLBxyz</w:t>
            </w:r>
            <w:proofErr w:type="spellEnd"/>
            <w:r>
              <w:t xml:space="preserve">  I+II (střídá se po roce se Základy jazyka III+IV)</w:t>
            </w:r>
          </w:p>
        </w:tc>
        <w:tc>
          <w:tcPr>
            <w:tcW w:w="1813" w:type="dxa"/>
            <w:shd w:val="clear" w:color="auto" w:fill="A8D08D" w:themeFill="accent6" w:themeFillTint="99"/>
          </w:tcPr>
          <w:p w:rsidR="00BA2008" w:rsidRDefault="000435FE">
            <w:r>
              <w:t>Jazyk pro sociální vědy I+II (dříve Jazyk I+II)</w:t>
            </w:r>
          </w:p>
        </w:tc>
        <w:tc>
          <w:tcPr>
            <w:tcW w:w="1813" w:type="dxa"/>
            <w:shd w:val="clear" w:color="auto" w:fill="538135" w:themeFill="accent6" w:themeFillShade="BF"/>
          </w:tcPr>
          <w:p w:rsidR="00BA2008" w:rsidRDefault="000435FE">
            <w:r>
              <w:t>Jazyk odborný I+II</w:t>
            </w:r>
          </w:p>
        </w:tc>
      </w:tr>
    </w:tbl>
    <w:p w:rsidR="00BA2008" w:rsidRDefault="00BA2008"/>
    <w:p w:rsidR="00BA2008" w:rsidRDefault="000435FE">
      <w:r>
        <w:t>Není možné si nejdříve zapsat vyšší úroveň a potom nižší.</w:t>
      </w:r>
    </w:p>
    <w:p w:rsidR="00BA2008" w:rsidRDefault="000435FE">
      <w:bookmarkStart w:id="1" w:name="_heading=h.gjdgxs" w:colFirst="0" w:colLast="0"/>
      <w:bookmarkEnd w:id="1"/>
      <w:r>
        <w:t>Pozn. Kompletní nabídka úrovní platí pro francouzštinu a němčinu.</w:t>
      </w:r>
    </w:p>
    <w:sectPr w:rsidR="00BA2008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008"/>
    <w:rsid w:val="000435FE"/>
    <w:rsid w:val="00696736"/>
    <w:rsid w:val="00BA2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A2F535-97F2-4D57-AA4A-E0D9F03F8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cs-CZ" w:eastAsia="cs-CZ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"/>
    <w:next w:val="Normln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before="480" w:after="120"/>
    </w:pPr>
    <w:rPr>
      <w:b/>
      <w:sz w:val="72"/>
      <w:szCs w:val="72"/>
    </w:rPr>
  </w:style>
  <w:style w:type="table" w:styleId="Mkatabulky">
    <w:name w:val="Table Grid"/>
    <w:basedOn w:val="Normlntabulka"/>
    <w:uiPriority w:val="39"/>
    <w:rsid w:val="00AF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nadpis">
    <w:name w:val="Subtitle"/>
    <w:basedOn w:val="Normln"/>
    <w:next w:val="Normln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7g+4UC0ycVbGni+H2aG2Ohuh5cA==">CgMxLjAyCGguZ2pkZ3hzOAByITFPN2d4YzJ3anBWcFVYUXNRZGM1a2RwZVFxWjZJVWhheA==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Lucie Poslušná</dc:creator>
  <cp:lastModifiedBy>veronika</cp:lastModifiedBy>
  <cp:revision>2</cp:revision>
  <dcterms:created xsi:type="dcterms:W3CDTF">2023-05-31T07:32:00Z</dcterms:created>
  <dcterms:modified xsi:type="dcterms:W3CDTF">2023-05-31T07:32:00Z</dcterms:modified>
</cp:coreProperties>
</file>